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1D6A0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773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D6A01">
        <w:rPr>
          <w:b w:val="0"/>
          <w:color w:val="000099"/>
          <w:sz w:val="24"/>
        </w:rPr>
        <w:t>2110-14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23</w:t>
      </w:r>
      <w:r w:rsidR="001D6A01">
        <w:rPr>
          <w:b w:val="0"/>
          <w:bCs w:val="0"/>
          <w:color w:val="000099"/>
          <w:sz w:val="27"/>
          <w:szCs w:val="27"/>
        </w:rPr>
        <w:t xml:space="preserve"> апреля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Кедык</w:t>
      </w:r>
      <w:r>
        <w:rPr>
          <w:color w:val="000099"/>
          <w:sz w:val="27"/>
          <w:szCs w:val="27"/>
        </w:rPr>
        <w:t xml:space="preserve"> Юрия Юрьевича, </w:t>
      </w:r>
      <w:r w:rsidR="002971F7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1D6A01"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 w:rsidR="001D6A01">
        <w:rPr>
          <w:color w:val="000099"/>
          <w:sz w:val="27"/>
          <w:szCs w:val="27"/>
        </w:rPr>
        <w:t>13</w:t>
      </w:r>
      <w:r w:rsidRPr="00D44C7E">
        <w:rPr>
          <w:color w:val="000099"/>
          <w:sz w:val="27"/>
          <w:szCs w:val="27"/>
        </w:rPr>
        <w:t xml:space="preserve"> час. </w:t>
      </w:r>
      <w:r w:rsidR="001D6A01">
        <w:rPr>
          <w:color w:val="000099"/>
          <w:sz w:val="27"/>
          <w:szCs w:val="27"/>
        </w:rPr>
        <w:t>05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D6A01">
        <w:rPr>
          <w:color w:val="000099"/>
          <w:sz w:val="27"/>
          <w:szCs w:val="27"/>
        </w:rPr>
        <w:t xml:space="preserve">по ул. </w:t>
      </w:r>
      <w:r w:rsidR="001D6A01">
        <w:rPr>
          <w:color w:val="000099"/>
          <w:sz w:val="27"/>
          <w:szCs w:val="27"/>
        </w:rPr>
        <w:t>Энергостроителей</w:t>
      </w:r>
      <w:r w:rsidR="001D6A01">
        <w:rPr>
          <w:color w:val="000099"/>
          <w:sz w:val="27"/>
          <w:szCs w:val="27"/>
        </w:rPr>
        <w:t xml:space="preserve"> около д. 20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2971F7" w:rsidR="002971F7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2971F7" w:rsidR="002971F7">
        <w:rPr>
          <w:color w:val="000099"/>
          <w:sz w:val="27"/>
          <w:szCs w:val="27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Лицо, привлекаемое к административной ответственности, </w:t>
      </w:r>
      <w:r w:rsidR="00494CC8">
        <w:rPr>
          <w:color w:val="000099"/>
          <w:sz w:val="27"/>
          <w:szCs w:val="27"/>
        </w:rPr>
        <w:t>его защитник, извещены</w:t>
      </w:r>
      <w:r w:rsidRPr="00D44C7E">
        <w:rPr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</w:t>
      </w:r>
      <w:r w:rsidR="00494CC8">
        <w:rPr>
          <w:color w:val="000099"/>
          <w:sz w:val="27"/>
          <w:szCs w:val="27"/>
        </w:rPr>
        <w:t>и</w:t>
      </w:r>
      <w:r w:rsidRPr="00D44C7E">
        <w:rPr>
          <w:color w:val="000099"/>
          <w:sz w:val="27"/>
          <w:szCs w:val="27"/>
        </w:rPr>
        <w:t>сь, ходатайств об отложении рассмотрения дела не заявлял</w:t>
      </w:r>
      <w:r w:rsidR="00494CC8">
        <w:rPr>
          <w:color w:val="000099"/>
          <w:sz w:val="27"/>
          <w:szCs w:val="27"/>
        </w:rPr>
        <w:t>и</w:t>
      </w:r>
      <w:r w:rsidRPr="00D44C7E">
        <w:rPr>
          <w:color w:val="000099"/>
          <w:sz w:val="27"/>
          <w:szCs w:val="27"/>
        </w:rPr>
        <w:t xml:space="preserve">. Мировой судья, считает возможным рассмотреть дело в </w:t>
      </w:r>
      <w:r w:rsidR="00494CC8">
        <w:rPr>
          <w:color w:val="000099"/>
          <w:sz w:val="27"/>
          <w:szCs w:val="27"/>
        </w:rPr>
        <w:t>их</w:t>
      </w:r>
      <w:r w:rsidRPr="00D44C7E">
        <w:rPr>
          <w:color w:val="000099"/>
          <w:sz w:val="27"/>
          <w:szCs w:val="27"/>
        </w:rPr>
        <w:t xml:space="preserve">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1D6A01">
        <w:rPr>
          <w:color w:val="000099"/>
          <w:sz w:val="27"/>
          <w:szCs w:val="27"/>
        </w:rPr>
        <w:t>59394</w:t>
      </w:r>
      <w:r w:rsidRPr="00D44C7E">
        <w:rPr>
          <w:color w:val="000099"/>
          <w:sz w:val="27"/>
          <w:szCs w:val="27"/>
        </w:rPr>
        <w:t xml:space="preserve"> от </w:t>
      </w:r>
      <w:r w:rsidR="001D6A01">
        <w:rPr>
          <w:color w:val="000099"/>
          <w:sz w:val="27"/>
          <w:szCs w:val="27"/>
        </w:rPr>
        <w:t>09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185E36">
        <w:rPr>
          <w:color w:val="000099"/>
          <w:sz w:val="27"/>
          <w:szCs w:val="27"/>
        </w:rPr>
        <w:t>3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1D6A01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1D6A01">
        <w:rPr>
          <w:color w:val="000099"/>
          <w:sz w:val="27"/>
          <w:szCs w:val="27"/>
        </w:rPr>
        <w:t>1</w:t>
      </w:r>
      <w:r w:rsidR="00185E36">
        <w:rPr>
          <w:color w:val="000099"/>
          <w:sz w:val="27"/>
          <w:szCs w:val="27"/>
        </w:rPr>
        <w:t>8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1D6A01">
        <w:rPr>
          <w:color w:val="000099"/>
          <w:sz w:val="27"/>
          <w:szCs w:val="27"/>
        </w:rPr>
        <w:t>Кедык</w:t>
      </w:r>
      <w:r w:rsidR="001D6A01">
        <w:rPr>
          <w:color w:val="000099"/>
          <w:sz w:val="27"/>
          <w:szCs w:val="27"/>
        </w:rPr>
        <w:t xml:space="preserve"> Юрия Юрьевича</w:t>
      </w:r>
      <w:r w:rsidRPr="00817ACC" w:rsidR="001D6A01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Кедык</w:t>
      </w:r>
      <w:r>
        <w:rPr>
          <w:color w:val="000099"/>
          <w:sz w:val="27"/>
          <w:szCs w:val="27"/>
        </w:rPr>
        <w:t xml:space="preserve"> Юрия Юрьевича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04</w:t>
      </w:r>
      <w:r w:rsidR="001D6A01">
        <w:rPr>
          <w:color w:val="C00000"/>
          <w:sz w:val="27"/>
          <w:szCs w:val="27"/>
        </w:rPr>
        <w:t>952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2971F7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2971F7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1F7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4CC8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B675F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1DB8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